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RIGHT TO REFUSE DANGEROUS WORK</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4">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5">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dangerous work under Section 45 of the Newfoundland and Labrador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and</w:t>
      </w:r>
    </w:p>
    <w:p w:rsidR="00000000" w:rsidDel="00000000" w:rsidP="00000000" w:rsidRDefault="00000000" w:rsidRPr="00000000" w14:paraId="00000006">
      <w:pPr>
        <w:numPr>
          <w:ilvl w:val="0"/>
          <w:numId w:val="3"/>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7">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9">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w:t>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 worker may refuse to do work that the worker has reasonable grounds to believe is dangerous to his or her health or safety, or the health and safety of another person at the workplace.” </w:t>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respects the legal right of employees to refuse work they believe is unhealthy or dangerous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dangerous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must be followed explicitly. </w:t>
      </w:r>
    </w:p>
    <w:p w:rsidR="00000000" w:rsidDel="00000000" w:rsidP="00000000" w:rsidRDefault="00000000" w:rsidRPr="00000000" w14:paraId="00000013">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initiate the work refusal, a worker must only report to their supervisor giving the precise conditions for the refusal to work and explain why they believe the work is dangerous. </w:t>
      </w:r>
    </w:p>
    <w:p w:rsidR="00000000" w:rsidDel="00000000" w:rsidP="00000000" w:rsidRDefault="00000000" w:rsidRPr="00000000" w14:paraId="00000015">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7">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work refusal process, the worker must remain available at the workplace during the worker’s normal working hours and may be assigned to alternative duties not involving the perceived hazard.</w:t>
      </w:r>
    </w:p>
    <w:p w:rsidR="00000000" w:rsidDel="00000000" w:rsidP="00000000" w:rsidRDefault="00000000" w:rsidRPr="00000000" w14:paraId="00000019">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it is safe to resume work. If the worker continues to refuse work beyond the point the work has been deemed safe by an OHS worker, [Organization Name] is no longer required to provide pay and may begin disciplinary action. </w:t>
      </w:r>
    </w:p>
    <w:p w:rsidR="00000000" w:rsidDel="00000000" w:rsidP="00000000" w:rsidRDefault="00000000" w:rsidRPr="00000000" w14:paraId="0000001B">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immediate supervisor or alternate, giving the precise conditions.</w:t>
      </w:r>
    </w:p>
    <w:p w:rsidR="00000000" w:rsidDel="00000000" w:rsidP="00000000" w:rsidRDefault="00000000" w:rsidRPr="00000000" w14:paraId="00000023">
      <w:pPr>
        <w:numPr>
          <w:ilvl w:val="1"/>
          <w:numId w:val="1"/>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supervisor and worker should work together to assess the risk and resolve the concern. </w:t>
      </w:r>
    </w:p>
    <w:p w:rsidR="00000000" w:rsidDel="00000000" w:rsidP="00000000" w:rsidRDefault="00000000" w:rsidRPr="00000000" w14:paraId="00000024">
      <w:pPr>
        <w:numPr>
          <w:ilvl w:val="1"/>
          <w:numId w:val="1"/>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supervisor then informs the employee of the changes made. </w:t>
      </w:r>
    </w:p>
    <w:p w:rsidR="00000000" w:rsidDel="00000000" w:rsidP="00000000" w:rsidRDefault="00000000" w:rsidRPr="00000000" w14:paraId="00000025">
      <w:pPr>
        <w:numPr>
          <w:ilvl w:val="1"/>
          <w:numId w:val="1"/>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the matter is resolved, the worker returns to work.</w:t>
      </w:r>
    </w:p>
    <w:p w:rsidR="00000000" w:rsidDel="00000000" w:rsidP="00000000" w:rsidRDefault="00000000" w:rsidRPr="00000000" w14:paraId="00000026">
      <w:pPr>
        <w:numPr>
          <w:ilvl w:val="1"/>
          <w:numId w:val="1"/>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the employee continues to feel unsafe, then step 2 occurs.  </w:t>
      </w:r>
    </w:p>
    <w:p w:rsidR="00000000" w:rsidDel="00000000" w:rsidP="00000000" w:rsidRDefault="00000000" w:rsidRPr="00000000" w14:paraId="00000027">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continues to feel unsafe, the worker should continue to refuse and report the issue to a member of the occupational health and safety committee or the worker health and safety representative for investigation.</w:t>
      </w:r>
    </w:p>
    <w:p w:rsidR="00000000" w:rsidDel="00000000" w:rsidP="00000000" w:rsidRDefault="00000000" w:rsidRPr="00000000" w14:paraId="0000002B">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matter is resolved, the worker returns to work.</w:t>
      </w:r>
    </w:p>
    <w:p w:rsidR="00000000" w:rsidDel="00000000" w:rsidP="00000000" w:rsidRDefault="00000000" w:rsidRPr="00000000" w14:paraId="0000002C">
      <w:pPr>
        <w:numPr>
          <w:ilvl w:val="0"/>
          <w:numId w:val="1"/>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matter is not resolved to the worker’s satisfaction by the Occupational Health and Safety Committee or Worker Health and Safety Representative, then the worker must proceed to step 3. </w:t>
      </w:r>
    </w:p>
    <w:p w:rsidR="00000000" w:rsidDel="00000000" w:rsidP="00000000" w:rsidRDefault="00000000" w:rsidRPr="00000000" w14:paraId="0000002D">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E">
      <w:pPr>
        <w:shd w:fill="ffffff" w:val="clear"/>
        <w:spacing w:line="240" w:lineRule="auto"/>
        <w:ind w:right="119"/>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2F">
      <w:pPr>
        <w:shd w:fill="ffffff" w:val="clea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The worker or employer (or someone representing either of them) should contact </w:t>
      </w:r>
      <w:r w:rsidDel="00000000" w:rsidR="00000000" w:rsidRPr="00000000">
        <w:rPr>
          <w:rFonts w:ascii="Calibri" w:cs="Calibri" w:eastAsia="Calibri" w:hAnsi="Calibri"/>
          <w:sz w:val="21"/>
          <w:szCs w:val="21"/>
          <w:highlight w:val="white"/>
          <w:rtl w:val="0"/>
        </w:rPr>
        <w:t xml:space="preserve">Contact Occupational Health and Safety Division of Service NL for:</w:t>
      </w:r>
      <w:r w:rsidDel="00000000" w:rsidR="00000000" w:rsidRPr="00000000">
        <w:rPr>
          <w:rtl w:val="0"/>
        </w:rPr>
      </w:r>
    </w:p>
    <w:p w:rsidR="00000000" w:rsidDel="00000000" w:rsidP="00000000" w:rsidRDefault="00000000" w:rsidRPr="00000000" w14:paraId="00000031">
      <w:pPr>
        <w:numPr>
          <w:ilvl w:val="1"/>
          <w:numId w:val="4"/>
        </w:numPr>
        <w:shd w:fill="ffffff" w:val="clear"/>
        <w:spacing w:line="240" w:lineRule="auto"/>
        <w:ind w:left="144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and Concerns on workplace safety and general inspections at 709.729.2706 or 1.800.563.5471</w:t>
      </w:r>
    </w:p>
    <w:p w:rsidR="00000000" w:rsidDel="00000000" w:rsidP="00000000" w:rsidRDefault="00000000" w:rsidRPr="00000000" w14:paraId="00000032">
      <w:pPr>
        <w:numPr>
          <w:ilvl w:val="1"/>
          <w:numId w:val="4"/>
        </w:numPr>
        <w:shd w:fill="ffffff" w:val="clear"/>
        <w:spacing w:line="240" w:lineRule="auto"/>
        <w:ind w:left="144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serious injuries must be reported to the Occupational Health and Safety Division of Service NL by calling 709.729.4444 (24 hours, serious accidents only)</w:t>
      </w:r>
    </w:p>
    <w:p w:rsidR="00000000" w:rsidDel="00000000" w:rsidP="00000000" w:rsidRDefault="00000000" w:rsidRPr="00000000" w14:paraId="00000033">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 OHS officer will investigate the issue in consultation with the worker, safety representative/committee member and supervisor or management representative.</w:t>
      </w:r>
      <w:r w:rsidDel="00000000" w:rsidR="00000000" w:rsidRPr="00000000">
        <w:rPr>
          <w:rtl w:val="0"/>
        </w:rPr>
      </w:r>
    </w:p>
    <w:p w:rsidR="00000000" w:rsidDel="00000000" w:rsidP="00000000" w:rsidRDefault="00000000" w:rsidRPr="00000000" w14:paraId="00000034">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5">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6">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hd w:fill="ffffff" w:val="clea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Step 1, if the supervisor has investigated and found a resolution they believe is safe, but the worker continues to refuse, the supervisor can ask another worker to perform the task while waiting for a resolution. </w:t>
      </w:r>
    </w:p>
    <w:p w:rsidR="00000000" w:rsidDel="00000000" w:rsidP="00000000" w:rsidRDefault="00000000" w:rsidRPr="00000000" w14:paraId="00000038">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hd w:fill="ffffff" w:val="clea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the supervisor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let the second worker know:</w:t>
      </w:r>
    </w:p>
    <w:p w:rsidR="00000000" w:rsidDel="00000000" w:rsidP="00000000" w:rsidRDefault="00000000" w:rsidRPr="00000000" w14:paraId="0000003A">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2"/>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was a work refusal, </w:t>
      </w:r>
    </w:p>
    <w:p w:rsidR="00000000" w:rsidDel="00000000" w:rsidP="00000000" w:rsidRDefault="00000000" w:rsidRPr="00000000" w14:paraId="0000003C">
      <w:pPr>
        <w:numPr>
          <w:ilvl w:val="0"/>
          <w:numId w:val="2"/>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reasons for it, </w:t>
      </w:r>
    </w:p>
    <w:p w:rsidR="00000000" w:rsidDel="00000000" w:rsidP="00000000" w:rsidRDefault="00000000" w:rsidRPr="00000000" w14:paraId="0000003D">
      <w:pPr>
        <w:numPr>
          <w:ilvl w:val="0"/>
          <w:numId w:val="2"/>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why the employer feels the work can continue safely, and </w:t>
      </w:r>
    </w:p>
    <w:p w:rsidR="00000000" w:rsidDel="00000000" w:rsidP="00000000" w:rsidRDefault="00000000" w:rsidRPr="00000000" w14:paraId="0000003E">
      <w:pPr>
        <w:numPr>
          <w:ilvl w:val="0"/>
          <w:numId w:val="2"/>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that they also have the right to refuse the work</w:t>
      </w:r>
    </w:p>
    <w:p w:rsidR="00000000" w:rsidDel="00000000" w:rsidP="00000000" w:rsidRDefault="00000000" w:rsidRPr="00000000" w14:paraId="0000003F">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possible, an arrangement should be made for the refusing worker and the alternate worker to communicate to ensure the situation is clearly understood by all parties.</w:t>
      </w:r>
    </w:p>
    <w:p w:rsidR="00000000" w:rsidDel="00000000" w:rsidP="00000000" w:rsidRDefault="00000000" w:rsidRPr="00000000" w14:paraId="00000041">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Note: A worker must be in the workplace and familiar with the alleged hazards in order to refuse to work, a right of refusal cannot be exercised in absentia, or on behalf of others.</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after="0" w:before="0"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p4K8QwUk1wJlkcOGYmLo2x1g==">CgMxLjAyCGguZ2pkZ3hzOAByITFBRFB0SjNpN2RET2tGaWVtZTZYcHc0Mno4alpLUzlWVg==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